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1711" w14:textId="650063C4" w:rsidR="0085566E" w:rsidRPr="00653E4E" w:rsidRDefault="00FA51B4" w:rsidP="00653E4E">
      <w:pPr>
        <w:keepNext/>
        <w:tabs>
          <w:tab w:val="left" w:pos="1170"/>
        </w:tabs>
        <w:spacing w:line="276" w:lineRule="auto"/>
        <w:jc w:val="both"/>
        <w:outlineLvl w:val="0"/>
        <w:rPr>
          <w:b/>
          <w:bCs/>
          <w:noProof/>
          <w:szCs w:val="24"/>
        </w:rPr>
      </w:pPr>
      <w:r>
        <w:rPr>
          <w:b/>
          <w:bCs/>
          <w:noProof/>
          <w:szCs w:val="24"/>
        </w:rPr>
        <w:drawing>
          <wp:anchor distT="0" distB="0" distL="114300" distR="114300" simplePos="0" relativeHeight="251657728" behindDoc="0" locked="0" layoutInCell="1" allowOverlap="1" wp14:anchorId="2C95AF69" wp14:editId="0924D4B2">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653E4E">
        <w:rPr>
          <w:b/>
          <w:bCs/>
          <w:noProof/>
          <w:szCs w:val="24"/>
        </w:rPr>
        <w:t xml:space="preserve">                                                                                                                                                                                                                                                                                                                                                                                                                                                                                                                                                                                                                                                                                                                                                                                                                                                                                                                                                                                                                                                                                                                                                                                                                                                                                                                                                                                                                                                                                                                                                                                                                                                                                                                                                                                                                                                                                                                                                                                                                                                                                                                                                                                                                                                                                                                                                                                                                                                                                                                                                                                                                                                                                                                                                                                                                                                                                                                                                                                                                                                                                                                                                                                                                                                                                                                                                                                                                                                                                                                                                                                                                                                                                                                                                                                                                                                                                                                                                                                                                                                                                                                                                                                                                                                                                                                                                                                                                                                                                                                                                                                                                                                                                                                                                                                                                                                                                                                                                                                                                                                                                                                                                                                                                                                                                                                                       </w:t>
      </w:r>
      <w:r w:rsidR="0085566E" w:rsidRPr="00653E4E">
        <w:rPr>
          <w:b/>
          <w:bCs/>
          <w:noProof/>
          <w:szCs w:val="24"/>
        </w:rPr>
        <w:br/>
      </w:r>
    </w:p>
    <w:p w14:paraId="3722A8D0" w14:textId="77777777" w:rsidR="0085566E" w:rsidRPr="00653E4E" w:rsidRDefault="0085566E" w:rsidP="00653E4E">
      <w:pPr>
        <w:tabs>
          <w:tab w:val="center" w:pos="4153"/>
          <w:tab w:val="right" w:pos="8306"/>
        </w:tabs>
        <w:spacing w:line="276" w:lineRule="auto"/>
        <w:jc w:val="both"/>
        <w:rPr>
          <w:noProof/>
          <w:szCs w:val="24"/>
        </w:rPr>
      </w:pPr>
    </w:p>
    <w:p w14:paraId="47B311E6" w14:textId="77777777" w:rsidR="0085566E" w:rsidRPr="00653E4E" w:rsidRDefault="0085566E" w:rsidP="00653E4E">
      <w:pPr>
        <w:tabs>
          <w:tab w:val="center" w:pos="4153"/>
          <w:tab w:val="right" w:pos="8306"/>
        </w:tabs>
        <w:spacing w:line="276" w:lineRule="auto"/>
        <w:jc w:val="center"/>
        <w:rPr>
          <w:noProof/>
          <w:szCs w:val="24"/>
        </w:rPr>
      </w:pPr>
    </w:p>
    <w:p w14:paraId="3BC27255" w14:textId="77777777" w:rsidR="0085566E" w:rsidRPr="00653E4E" w:rsidRDefault="0085566E" w:rsidP="00596E88">
      <w:pPr>
        <w:tabs>
          <w:tab w:val="center" w:pos="4153"/>
          <w:tab w:val="right" w:pos="8306"/>
        </w:tabs>
        <w:spacing w:line="276" w:lineRule="auto"/>
        <w:jc w:val="center"/>
        <w:rPr>
          <w:b/>
          <w:noProof/>
          <w:szCs w:val="24"/>
        </w:rPr>
      </w:pPr>
      <w:r w:rsidRPr="00653E4E">
        <w:rPr>
          <w:b/>
          <w:noProof/>
          <w:szCs w:val="24"/>
        </w:rPr>
        <w:t>UKMERGĖS RAJONO SAVIVALDYBĖS</w:t>
      </w:r>
      <w:r w:rsidR="00596E88">
        <w:rPr>
          <w:b/>
          <w:noProof/>
          <w:szCs w:val="24"/>
        </w:rPr>
        <w:t xml:space="preserve"> </w:t>
      </w:r>
      <w:r w:rsidRPr="00653E4E">
        <w:rPr>
          <w:b/>
          <w:noProof/>
          <w:szCs w:val="24"/>
        </w:rPr>
        <w:t>KONTROLĖS IR AUDITO TARNYBA</w:t>
      </w:r>
    </w:p>
    <w:p w14:paraId="2DA8EF30" w14:textId="77777777" w:rsidR="00EB3510" w:rsidRDefault="00EB3510" w:rsidP="00653E4E">
      <w:pPr>
        <w:spacing w:line="276" w:lineRule="auto"/>
        <w:jc w:val="both"/>
        <w:rPr>
          <w:noProof/>
          <w:szCs w:val="24"/>
        </w:rPr>
      </w:pPr>
    </w:p>
    <w:p w14:paraId="44ECC2C7" w14:textId="77777777" w:rsidR="00974A87" w:rsidRDefault="00974A87" w:rsidP="00653E4E">
      <w:pPr>
        <w:autoSpaceDE w:val="0"/>
        <w:autoSpaceDN w:val="0"/>
        <w:adjustRightInd w:val="0"/>
        <w:spacing w:line="276" w:lineRule="auto"/>
        <w:jc w:val="both"/>
        <w:rPr>
          <w:szCs w:val="24"/>
          <w:lang w:eastAsia="lt-LT"/>
        </w:rPr>
      </w:pPr>
    </w:p>
    <w:p w14:paraId="49F92AED" w14:textId="77777777" w:rsidR="000D36BA" w:rsidRDefault="000D36BA" w:rsidP="00653E4E">
      <w:pPr>
        <w:autoSpaceDE w:val="0"/>
        <w:autoSpaceDN w:val="0"/>
        <w:adjustRightInd w:val="0"/>
        <w:spacing w:line="276" w:lineRule="auto"/>
        <w:jc w:val="both"/>
        <w:rPr>
          <w:szCs w:val="24"/>
          <w:lang w:eastAsia="lt-LT"/>
        </w:rPr>
      </w:pPr>
    </w:p>
    <w:p w14:paraId="76F0AFBE" w14:textId="77777777" w:rsidR="00976AB0" w:rsidRPr="00976AB0" w:rsidRDefault="00205C93" w:rsidP="00976AB0">
      <w:pPr>
        <w:autoSpaceDE w:val="0"/>
        <w:autoSpaceDN w:val="0"/>
        <w:adjustRightInd w:val="0"/>
        <w:spacing w:line="276" w:lineRule="auto"/>
        <w:jc w:val="center"/>
        <w:rPr>
          <w:b/>
          <w:szCs w:val="24"/>
          <w:lang w:eastAsia="lt-LT"/>
        </w:rPr>
      </w:pPr>
      <w:r>
        <w:rPr>
          <w:b/>
          <w:szCs w:val="24"/>
          <w:lang w:eastAsia="lt-LT"/>
        </w:rPr>
        <w:t xml:space="preserve">AUDITO  </w:t>
      </w:r>
      <w:r w:rsidR="00976AB0" w:rsidRPr="00976AB0">
        <w:rPr>
          <w:b/>
          <w:szCs w:val="24"/>
          <w:lang w:eastAsia="lt-LT"/>
        </w:rPr>
        <w:t>IŠVADA</w:t>
      </w:r>
    </w:p>
    <w:p w14:paraId="0A931093" w14:textId="77777777" w:rsidR="00BC2D24" w:rsidRPr="00974A87" w:rsidRDefault="00BC2D24" w:rsidP="00653E4E">
      <w:pPr>
        <w:autoSpaceDE w:val="0"/>
        <w:autoSpaceDN w:val="0"/>
        <w:adjustRightInd w:val="0"/>
        <w:spacing w:line="276" w:lineRule="auto"/>
        <w:jc w:val="center"/>
        <w:rPr>
          <w:b/>
          <w:bCs/>
          <w:sz w:val="16"/>
          <w:szCs w:val="16"/>
          <w:lang w:eastAsia="lt-LT"/>
        </w:rPr>
      </w:pPr>
    </w:p>
    <w:p w14:paraId="46EF9751" w14:textId="77777777" w:rsidR="0085566E" w:rsidRPr="00653E4E" w:rsidRDefault="00BC2D24" w:rsidP="00F32CF5">
      <w:pPr>
        <w:autoSpaceDE w:val="0"/>
        <w:autoSpaceDN w:val="0"/>
        <w:adjustRightInd w:val="0"/>
        <w:jc w:val="center"/>
        <w:rPr>
          <w:color w:val="000000"/>
          <w:szCs w:val="24"/>
          <w:lang w:eastAsia="lt-LT"/>
        </w:rPr>
      </w:pPr>
      <w:r w:rsidRPr="00653E4E">
        <w:rPr>
          <w:color w:val="000000"/>
          <w:szCs w:val="24"/>
          <w:lang w:eastAsia="lt-LT"/>
        </w:rPr>
        <w:t>20</w:t>
      </w:r>
      <w:r w:rsidR="00D717A7">
        <w:rPr>
          <w:color w:val="000000"/>
          <w:szCs w:val="24"/>
          <w:lang w:eastAsia="lt-LT"/>
        </w:rPr>
        <w:t>20</w:t>
      </w:r>
      <w:r w:rsidR="0085566E" w:rsidRPr="00653E4E">
        <w:rPr>
          <w:color w:val="000000"/>
          <w:szCs w:val="24"/>
          <w:lang w:eastAsia="lt-LT"/>
        </w:rPr>
        <w:t xml:space="preserve"> m. </w:t>
      </w:r>
      <w:r w:rsidR="00205C93">
        <w:rPr>
          <w:color w:val="000000"/>
          <w:szCs w:val="24"/>
          <w:lang w:eastAsia="lt-LT"/>
        </w:rPr>
        <w:t>liepos</w:t>
      </w:r>
      <w:r w:rsidR="00D717A7">
        <w:rPr>
          <w:color w:val="000000"/>
          <w:szCs w:val="24"/>
          <w:lang w:eastAsia="lt-LT"/>
        </w:rPr>
        <w:t xml:space="preserve"> </w:t>
      </w:r>
      <w:r w:rsidR="00F7131D">
        <w:rPr>
          <w:color w:val="000000"/>
          <w:szCs w:val="24"/>
          <w:lang w:eastAsia="lt-LT"/>
        </w:rPr>
        <w:t xml:space="preserve">21 </w:t>
      </w:r>
      <w:r w:rsidR="0085566E" w:rsidRPr="00653E4E">
        <w:rPr>
          <w:color w:val="000000"/>
          <w:szCs w:val="24"/>
          <w:lang w:eastAsia="lt-LT"/>
        </w:rPr>
        <w:t xml:space="preserve">d. Nr. </w:t>
      </w:r>
      <w:r w:rsidR="003616E5">
        <w:rPr>
          <w:color w:val="000000"/>
          <w:szCs w:val="24"/>
          <w:lang w:eastAsia="lt-LT"/>
        </w:rPr>
        <w:t>BR-</w:t>
      </w:r>
      <w:r w:rsidR="00D717A7">
        <w:rPr>
          <w:color w:val="000000"/>
          <w:szCs w:val="24"/>
          <w:lang w:eastAsia="lt-LT"/>
        </w:rPr>
        <w:t>0</w:t>
      </w:r>
      <w:r w:rsidR="00205C93">
        <w:rPr>
          <w:color w:val="000000"/>
          <w:szCs w:val="24"/>
          <w:lang w:eastAsia="lt-LT"/>
        </w:rPr>
        <w:t>4</w:t>
      </w:r>
      <w:r w:rsidR="005F5DB3">
        <w:rPr>
          <w:color w:val="000000"/>
          <w:szCs w:val="24"/>
          <w:lang w:eastAsia="lt-LT"/>
        </w:rPr>
        <w:t>/1</w:t>
      </w:r>
    </w:p>
    <w:p w14:paraId="708CD5F0" w14:textId="77777777" w:rsidR="0085566E" w:rsidRPr="00653E4E" w:rsidRDefault="0085566E" w:rsidP="00F32CF5">
      <w:pPr>
        <w:autoSpaceDE w:val="0"/>
        <w:autoSpaceDN w:val="0"/>
        <w:adjustRightInd w:val="0"/>
        <w:jc w:val="center"/>
        <w:rPr>
          <w:color w:val="000000"/>
          <w:szCs w:val="24"/>
          <w:lang w:eastAsia="lt-LT"/>
        </w:rPr>
      </w:pPr>
      <w:r w:rsidRPr="00653E4E">
        <w:rPr>
          <w:color w:val="000000"/>
          <w:szCs w:val="24"/>
          <w:lang w:eastAsia="lt-LT"/>
        </w:rPr>
        <w:t>Ukmergė</w:t>
      </w:r>
    </w:p>
    <w:p w14:paraId="65F85E62" w14:textId="77777777" w:rsidR="005D7131" w:rsidRDefault="005D7131" w:rsidP="003E629F">
      <w:pPr>
        <w:shd w:val="clear" w:color="auto" w:fill="FFFFFF"/>
        <w:spacing w:line="276" w:lineRule="auto"/>
        <w:ind w:firstLine="851"/>
        <w:jc w:val="both"/>
        <w:rPr>
          <w:b/>
          <w:szCs w:val="24"/>
        </w:rPr>
      </w:pPr>
    </w:p>
    <w:p w14:paraId="0449BBBC" w14:textId="77777777" w:rsidR="00EB3510" w:rsidRPr="00EB3510" w:rsidRDefault="00EB3510" w:rsidP="00825FA9">
      <w:pPr>
        <w:shd w:val="clear" w:color="auto" w:fill="FFFFFF"/>
        <w:spacing w:line="276" w:lineRule="auto"/>
        <w:ind w:firstLine="851"/>
        <w:jc w:val="both"/>
        <w:rPr>
          <w:b/>
          <w:sz w:val="16"/>
          <w:szCs w:val="16"/>
        </w:rPr>
      </w:pPr>
    </w:p>
    <w:p w14:paraId="1BB3BE84" w14:textId="77777777" w:rsidR="00B7072D" w:rsidRPr="00596E88" w:rsidRDefault="00B7072D" w:rsidP="00B7072D">
      <w:pPr>
        <w:spacing w:line="276" w:lineRule="auto"/>
        <w:ind w:firstLine="851"/>
        <w:contextualSpacing/>
        <w:rPr>
          <w:bCs/>
          <w:iCs/>
          <w:color w:val="1F3864" w:themeColor="accent1" w:themeShade="80"/>
          <w:szCs w:val="24"/>
        </w:rPr>
      </w:pPr>
      <w:r w:rsidRPr="00596E88">
        <w:rPr>
          <w:bCs/>
          <w:iCs/>
          <w:color w:val="1F3864" w:themeColor="accent1" w:themeShade="80"/>
          <w:szCs w:val="24"/>
        </w:rPr>
        <w:t>Sąlyginė nuomonė dėl konsoliduotųjų finansinių ataskaitų rinkinio</w:t>
      </w:r>
    </w:p>
    <w:p w14:paraId="59A08FAA" w14:textId="77777777" w:rsidR="00B7072D" w:rsidRPr="008147F4" w:rsidRDefault="00B7072D" w:rsidP="00596E88">
      <w:pPr>
        <w:spacing w:line="276" w:lineRule="auto"/>
        <w:ind w:firstLine="851"/>
        <w:contextualSpacing/>
        <w:jc w:val="both"/>
        <w:rPr>
          <w:bCs/>
          <w:iCs/>
          <w:szCs w:val="24"/>
        </w:rPr>
      </w:pPr>
      <w:r w:rsidRPr="008147F4">
        <w:rPr>
          <w:bCs/>
          <w:iCs/>
          <w:szCs w:val="24"/>
        </w:rPr>
        <w:t xml:space="preserve">Mes atlikome </w:t>
      </w:r>
      <w:r>
        <w:rPr>
          <w:bCs/>
          <w:iCs/>
          <w:szCs w:val="24"/>
        </w:rPr>
        <w:t>Ukmergės</w:t>
      </w:r>
      <w:r w:rsidRPr="008147F4">
        <w:rPr>
          <w:bCs/>
          <w:iCs/>
          <w:szCs w:val="24"/>
        </w:rPr>
        <w:t xml:space="preserve"> rajono savivaldybės 2019 metų konsoliduotųjų finansinių ataskaitų rinkinio auditą.</w:t>
      </w:r>
    </w:p>
    <w:p w14:paraId="7FB4520F" w14:textId="77777777" w:rsidR="00B7072D" w:rsidRPr="008147F4" w:rsidRDefault="00B7072D" w:rsidP="00596E88">
      <w:pPr>
        <w:spacing w:line="276" w:lineRule="auto"/>
        <w:ind w:firstLine="851"/>
        <w:contextualSpacing/>
        <w:jc w:val="both"/>
        <w:rPr>
          <w:bCs/>
          <w:iCs/>
          <w:szCs w:val="24"/>
        </w:rPr>
      </w:pPr>
      <w:r w:rsidRPr="008147F4">
        <w:rPr>
          <w:bCs/>
          <w:iCs/>
          <w:szCs w:val="24"/>
        </w:rPr>
        <w:t xml:space="preserve">Mūsų nuomone, išskyrus išvados skyriuje „Pagrindas pareikšti sąlyginę nuomonę dėl konsoliduotųjų finansinių ataskaitų rinkinio“ apibūdintų dalykų poveikį, </w:t>
      </w:r>
      <w:r>
        <w:rPr>
          <w:bCs/>
          <w:iCs/>
          <w:szCs w:val="24"/>
        </w:rPr>
        <w:t>Ukmergės</w:t>
      </w:r>
      <w:r w:rsidRPr="008147F4">
        <w:rPr>
          <w:bCs/>
          <w:iCs/>
          <w:szCs w:val="24"/>
        </w:rPr>
        <w:t xml:space="preserve"> rajono savivaldybės 2019 metų konsoliduotųjų finansinių ataskaitų rinkinys parodo tikrą ir teisingą Savivaldybės konsoliduojamų subjektų grupės 2019 m. gruodžio 31 d. finansinę būklę, veiklos rezultatus, grynojo turto pokyčius ir pinigų srautus pagal Lietuvos Respublikos viešojo sektoriaus apskaitos ir finansinės atskaitomybės standartus.</w:t>
      </w:r>
    </w:p>
    <w:p w14:paraId="43BCF978" w14:textId="77777777" w:rsidR="00B7072D" w:rsidRPr="00B7072D" w:rsidRDefault="00B7072D" w:rsidP="00825FA9">
      <w:pPr>
        <w:spacing w:line="276" w:lineRule="auto"/>
        <w:ind w:firstLine="851"/>
        <w:contextualSpacing/>
        <w:rPr>
          <w:rFonts w:asciiTheme="majorBidi" w:hAnsiTheme="majorBidi" w:cstheme="majorBidi"/>
          <w:bCs/>
          <w:iCs/>
          <w:color w:val="1F3864" w:themeColor="accent1" w:themeShade="80"/>
          <w:sz w:val="16"/>
          <w:szCs w:val="16"/>
        </w:rPr>
      </w:pPr>
    </w:p>
    <w:p w14:paraId="43BB3959" w14:textId="77777777" w:rsidR="008147F4" w:rsidRPr="00596E88" w:rsidRDefault="008147F4" w:rsidP="00825FA9">
      <w:pPr>
        <w:spacing w:line="276" w:lineRule="auto"/>
        <w:ind w:firstLine="851"/>
        <w:contextualSpacing/>
        <w:rPr>
          <w:rFonts w:asciiTheme="majorBidi" w:hAnsiTheme="majorBidi" w:cstheme="majorBidi"/>
          <w:bCs/>
          <w:iCs/>
          <w:color w:val="1F3864" w:themeColor="accent1" w:themeShade="80"/>
          <w:szCs w:val="24"/>
        </w:rPr>
      </w:pPr>
      <w:r w:rsidRPr="00596E88">
        <w:rPr>
          <w:rFonts w:asciiTheme="majorBidi" w:hAnsiTheme="majorBidi" w:cstheme="majorBidi"/>
          <w:bCs/>
          <w:iCs/>
          <w:color w:val="1F3864" w:themeColor="accent1" w:themeShade="80"/>
          <w:szCs w:val="24"/>
        </w:rPr>
        <w:t>Pagrindas pareikšti sąlyginę nuomonę dėl konsoliduotųjų finansinių ataskaitų rinkinio</w:t>
      </w:r>
    </w:p>
    <w:p w14:paraId="0093F37D" w14:textId="77777777" w:rsidR="00B7072D" w:rsidRPr="00B7072D" w:rsidRDefault="008147F4" w:rsidP="005A5096">
      <w:pPr>
        <w:autoSpaceDE w:val="0"/>
        <w:autoSpaceDN w:val="0"/>
        <w:adjustRightInd w:val="0"/>
        <w:spacing w:line="276" w:lineRule="auto"/>
        <w:ind w:firstLine="851"/>
        <w:jc w:val="both"/>
        <w:rPr>
          <w:b/>
          <w:iCs/>
          <w:szCs w:val="24"/>
        </w:rPr>
      </w:pPr>
      <w:r w:rsidRPr="0021377E">
        <w:rPr>
          <w:rFonts w:asciiTheme="majorBidi" w:hAnsiTheme="majorBidi" w:cstheme="majorBidi"/>
          <w:bCs/>
          <w:iCs/>
          <w:szCs w:val="24"/>
          <w:shd w:val="clear" w:color="auto" w:fill="FFFFFF" w:themeFill="background1"/>
        </w:rPr>
        <w:t xml:space="preserve">Nustatėme finansinės būklės ataskaitos (ilgalaikio turto ir finansavimo sumų; gautinų sumų ir įsipareigojimų ir grynojo turto straipsnių), veiklos rezultatų ataskaitos (pagrindinės ir kitos veiklos pajamų ir sąnaudų </w:t>
      </w:r>
      <w:r w:rsidRPr="0021377E">
        <w:rPr>
          <w:rFonts w:asciiTheme="majorBidi" w:hAnsiTheme="majorBidi" w:cstheme="majorBidi"/>
          <w:bCs/>
          <w:iCs/>
          <w:szCs w:val="24"/>
        </w:rPr>
        <w:t>straipsnių), grynojo</w:t>
      </w:r>
      <w:r w:rsidRPr="0021377E">
        <w:rPr>
          <w:rFonts w:asciiTheme="majorBidi" w:hAnsiTheme="majorBidi" w:cstheme="majorBidi"/>
          <w:bCs/>
          <w:iCs/>
          <w:szCs w:val="24"/>
          <w:shd w:val="clear" w:color="auto" w:fill="FFFFFF" w:themeFill="background1"/>
        </w:rPr>
        <w:t xml:space="preserve"> turto (</w:t>
      </w:r>
      <w:r w:rsidR="00C66388" w:rsidRPr="0021377E">
        <w:rPr>
          <w:rFonts w:asciiTheme="majorBidi" w:hAnsiTheme="majorBidi" w:cstheme="majorBidi"/>
          <w:bCs/>
          <w:iCs/>
          <w:szCs w:val="24"/>
          <w:shd w:val="clear" w:color="auto" w:fill="FFFFFF" w:themeFill="background1"/>
        </w:rPr>
        <w:t>sukaupto perviršio ar deficito</w:t>
      </w:r>
      <w:r w:rsidR="00C66388" w:rsidRPr="0021377E">
        <w:rPr>
          <w:rFonts w:asciiTheme="majorBidi" w:hAnsiTheme="majorBidi" w:cstheme="majorBidi"/>
          <w:bCs/>
          <w:iCs/>
          <w:szCs w:val="24"/>
        </w:rPr>
        <w:t>)</w:t>
      </w:r>
      <w:r w:rsidRPr="0021377E">
        <w:rPr>
          <w:rFonts w:asciiTheme="majorBidi" w:hAnsiTheme="majorBidi" w:cstheme="majorBidi"/>
          <w:bCs/>
          <w:iCs/>
          <w:szCs w:val="24"/>
        </w:rPr>
        <w:t>, įskaitant sumas, kurių teisingumo negalėjome patvirtinti, kuriuos lėmė iškraipymai žemesniojo lygio viešojo sektoriaus subjektų finansinių ataskaitų rinkiniuose</w:t>
      </w:r>
      <w:r w:rsidR="008E0F54">
        <w:rPr>
          <w:rFonts w:asciiTheme="majorBidi" w:hAnsiTheme="majorBidi" w:cstheme="majorBidi"/>
          <w:bCs/>
          <w:iCs/>
          <w:szCs w:val="24"/>
        </w:rPr>
        <w:t>.</w:t>
      </w:r>
      <w:r w:rsidR="00596E88" w:rsidRPr="0021377E">
        <w:rPr>
          <w:rFonts w:asciiTheme="majorBidi" w:hAnsiTheme="majorBidi" w:cstheme="majorBidi"/>
          <w:bCs/>
          <w:iCs/>
          <w:szCs w:val="24"/>
        </w:rPr>
        <w:t xml:space="preserve"> Finansinės įtakos m</w:t>
      </w:r>
      <w:r w:rsidR="005A5096" w:rsidRPr="0021377E">
        <w:rPr>
          <w:rFonts w:asciiTheme="majorBidi" w:hAnsiTheme="majorBidi" w:cstheme="majorBidi"/>
          <w:bCs/>
          <w:iCs/>
          <w:szCs w:val="24"/>
        </w:rPr>
        <w:t>a</w:t>
      </w:r>
      <w:r w:rsidR="00596E88" w:rsidRPr="0021377E">
        <w:rPr>
          <w:rFonts w:asciiTheme="majorBidi" w:hAnsiTheme="majorBidi" w:cstheme="majorBidi"/>
          <w:bCs/>
          <w:iCs/>
          <w:szCs w:val="24"/>
        </w:rPr>
        <w:t>stas savivaldybės konsoliduotojo</w:t>
      </w:r>
      <w:r w:rsidR="005A5096" w:rsidRPr="0021377E">
        <w:rPr>
          <w:rFonts w:asciiTheme="majorBidi" w:hAnsiTheme="majorBidi" w:cstheme="majorBidi"/>
          <w:bCs/>
          <w:iCs/>
          <w:szCs w:val="24"/>
        </w:rPr>
        <w:t xml:space="preserve"> finansinių ataskaitų rinkinio duomenims nurodytas audito ataskaitoje</w:t>
      </w:r>
      <w:r w:rsidR="0021377E">
        <w:rPr>
          <w:rFonts w:asciiTheme="majorBidi" w:hAnsiTheme="majorBidi" w:cstheme="majorBidi"/>
          <w:bCs/>
          <w:iCs/>
          <w:szCs w:val="24"/>
        </w:rPr>
        <w:t xml:space="preserve"> </w:t>
      </w:r>
      <w:r w:rsidRPr="00825FA9">
        <w:rPr>
          <w:rFonts w:asciiTheme="majorBidi" w:hAnsiTheme="majorBidi" w:cstheme="majorBidi"/>
          <w:bCs/>
          <w:iCs/>
          <w:szCs w:val="24"/>
        </w:rPr>
        <w:t>(</w:t>
      </w:r>
      <w:r w:rsidR="00C66388" w:rsidRPr="00825FA9">
        <w:rPr>
          <w:rFonts w:asciiTheme="majorBidi" w:hAnsiTheme="majorBidi" w:cstheme="majorBidi"/>
          <w:bCs/>
          <w:iCs/>
          <w:szCs w:val="24"/>
        </w:rPr>
        <w:t xml:space="preserve">žr. </w:t>
      </w:r>
      <w:r w:rsidRPr="00825FA9">
        <w:rPr>
          <w:rFonts w:asciiTheme="majorBidi" w:hAnsiTheme="majorBidi" w:cstheme="majorBidi"/>
          <w:bCs/>
          <w:iCs/>
          <w:szCs w:val="24"/>
        </w:rPr>
        <w:t xml:space="preserve">ataskaitos </w:t>
      </w:r>
      <w:r w:rsidR="00C66388" w:rsidRPr="00825FA9">
        <w:rPr>
          <w:rFonts w:asciiTheme="majorBidi" w:hAnsiTheme="majorBidi" w:cstheme="majorBidi"/>
          <w:bCs/>
          <w:iCs/>
          <w:szCs w:val="24"/>
        </w:rPr>
        <w:t>2</w:t>
      </w:r>
      <w:r w:rsidR="005A5096">
        <w:rPr>
          <w:rFonts w:asciiTheme="majorBidi" w:hAnsiTheme="majorBidi" w:cstheme="majorBidi"/>
          <w:bCs/>
          <w:iCs/>
          <w:szCs w:val="24"/>
        </w:rPr>
        <w:t>; 3</w:t>
      </w:r>
      <w:r w:rsidRPr="00825FA9">
        <w:rPr>
          <w:rFonts w:asciiTheme="majorBidi" w:hAnsiTheme="majorBidi" w:cstheme="majorBidi"/>
          <w:bCs/>
          <w:iCs/>
          <w:szCs w:val="24"/>
        </w:rPr>
        <w:t xml:space="preserve"> </w:t>
      </w:r>
      <w:r w:rsidR="00C66388" w:rsidRPr="00825FA9">
        <w:rPr>
          <w:rFonts w:asciiTheme="majorBidi" w:hAnsiTheme="majorBidi" w:cstheme="majorBidi"/>
          <w:bCs/>
          <w:iCs/>
          <w:szCs w:val="24"/>
        </w:rPr>
        <w:t>skyrių</w:t>
      </w:r>
      <w:r w:rsidRPr="00825FA9">
        <w:rPr>
          <w:rFonts w:asciiTheme="majorBidi" w:hAnsiTheme="majorBidi" w:cstheme="majorBidi"/>
          <w:bCs/>
          <w:iCs/>
          <w:szCs w:val="24"/>
        </w:rPr>
        <w:t>).</w:t>
      </w:r>
      <w:r w:rsidR="00B7072D" w:rsidRPr="00B7072D">
        <w:rPr>
          <w:rFonts w:asciiTheme="majorBidi" w:eastAsia="Calibri" w:hAnsiTheme="majorBidi" w:cstheme="majorBidi"/>
          <w:color w:val="000000"/>
          <w:szCs w:val="24"/>
          <w:lang w:eastAsia="lt-LT"/>
        </w:rPr>
        <w:t xml:space="preserve"> </w:t>
      </w:r>
    </w:p>
    <w:p w14:paraId="46F0A1F4" w14:textId="77777777" w:rsidR="00C66388" w:rsidRPr="00C66388" w:rsidRDefault="00C66388" w:rsidP="00825FA9">
      <w:pPr>
        <w:spacing w:line="276" w:lineRule="auto"/>
        <w:ind w:firstLine="851"/>
        <w:contextualSpacing/>
        <w:jc w:val="both"/>
        <w:rPr>
          <w:rFonts w:asciiTheme="majorBidi" w:hAnsiTheme="majorBidi" w:cstheme="majorBidi"/>
          <w:bCs/>
          <w:iCs/>
          <w:szCs w:val="24"/>
        </w:rPr>
      </w:pPr>
      <w:r w:rsidRPr="00C66388">
        <w:rPr>
          <w:rFonts w:asciiTheme="majorBidi" w:hAnsiTheme="majorBidi" w:cstheme="majorBidi"/>
          <w:bCs/>
          <w:iCs/>
          <w:szCs w:val="24"/>
        </w:rPr>
        <w:t xml:space="preserve"> Auditą atlikome pagal Valstybinio audito reikalavimus, Tarptautinius audito standartus. Mūsų atsakomybė pagal šiuos standartus išsamiai apibūdinta šios išvados skyriuje „Auditoriau</w:t>
      </w:r>
      <w:r w:rsidRPr="00825FA9">
        <w:rPr>
          <w:rFonts w:asciiTheme="majorBidi" w:hAnsiTheme="majorBidi" w:cstheme="majorBidi"/>
          <w:bCs/>
          <w:iCs/>
          <w:szCs w:val="24"/>
        </w:rPr>
        <w:t xml:space="preserve">s </w:t>
      </w:r>
      <w:r w:rsidRPr="00C66388">
        <w:rPr>
          <w:rFonts w:asciiTheme="majorBidi" w:hAnsiTheme="majorBidi" w:cstheme="majorBidi"/>
          <w:bCs/>
          <w:iCs/>
          <w:szCs w:val="24"/>
        </w:rPr>
        <w:t xml:space="preserve">atsakomybė“. Esame nepriklausomi nuo audituojamo subjekto pagal Savivaldybės kontrolierių profesinės etikos kodeksą ir įvykdėme kitus šiame kodekse nustatytus etikos reikalavimus. </w:t>
      </w:r>
    </w:p>
    <w:p w14:paraId="1881F98B" w14:textId="77777777" w:rsidR="008147F4" w:rsidRPr="00825FA9" w:rsidRDefault="00825FA9" w:rsidP="00825FA9">
      <w:pPr>
        <w:spacing w:line="276" w:lineRule="auto"/>
        <w:ind w:firstLine="851"/>
        <w:contextualSpacing/>
        <w:jc w:val="both"/>
        <w:rPr>
          <w:rFonts w:asciiTheme="majorBidi" w:hAnsiTheme="majorBidi" w:cstheme="majorBidi"/>
          <w:szCs w:val="24"/>
        </w:rPr>
      </w:pPr>
      <w:r w:rsidRPr="00825FA9">
        <w:rPr>
          <w:rFonts w:asciiTheme="majorBidi" w:hAnsiTheme="majorBidi" w:cstheme="majorBidi"/>
          <w:szCs w:val="24"/>
        </w:rPr>
        <w:t>Mes manome, kad mūsų surinkti audito įrodymai yra pakankami ir tinkami pagrįsti mūsų sąlyginę nuomonę dėl Savivaldybės konsoliduotųjų finansinių ataskaitų rinkinio.</w:t>
      </w:r>
    </w:p>
    <w:p w14:paraId="4D4EF7A7" w14:textId="77777777" w:rsidR="00825FA9" w:rsidRDefault="00825FA9" w:rsidP="00825FA9">
      <w:pPr>
        <w:autoSpaceDE w:val="0"/>
        <w:autoSpaceDN w:val="0"/>
        <w:adjustRightInd w:val="0"/>
        <w:rPr>
          <w:rFonts w:ascii="Cambria" w:eastAsia="Calibri" w:hAnsi="Cambria" w:cs="Cambria"/>
          <w:b/>
          <w:bCs/>
          <w:color w:val="000000"/>
          <w:sz w:val="22"/>
          <w:szCs w:val="22"/>
          <w:lang w:eastAsia="lt-LT"/>
        </w:rPr>
      </w:pPr>
    </w:p>
    <w:p w14:paraId="697F974F" w14:textId="77777777" w:rsidR="00B7072D" w:rsidRPr="00B7072D" w:rsidRDefault="00B7072D" w:rsidP="00B7072D">
      <w:pPr>
        <w:shd w:val="clear" w:color="auto" w:fill="FFFFFF"/>
        <w:spacing w:line="276" w:lineRule="auto"/>
        <w:ind w:firstLine="851"/>
        <w:jc w:val="both"/>
        <w:rPr>
          <w:bCs/>
          <w:color w:val="1F3864" w:themeColor="accent1" w:themeShade="80"/>
        </w:rPr>
      </w:pPr>
      <w:r w:rsidRPr="00B7072D">
        <w:rPr>
          <w:bCs/>
          <w:color w:val="1F3864" w:themeColor="accent1" w:themeShade="80"/>
        </w:rPr>
        <w:t>Besąlyginė nuomonė dėl konsoliduotųjų biudžeto vykdymo ataskaitų rinkinio</w:t>
      </w:r>
    </w:p>
    <w:p w14:paraId="5EDCA324" w14:textId="77777777" w:rsidR="00B7072D" w:rsidRPr="00B7072D" w:rsidRDefault="00B7072D" w:rsidP="00A76CC7">
      <w:pPr>
        <w:pStyle w:val="Default"/>
        <w:ind w:firstLine="851"/>
        <w:jc w:val="both"/>
        <w:rPr>
          <w:lang w:eastAsia="lt-LT"/>
        </w:rPr>
      </w:pPr>
      <w:r w:rsidRPr="00B7072D">
        <w:rPr>
          <w:lang w:eastAsia="lt-LT"/>
        </w:rPr>
        <w:t xml:space="preserve">Mes atlikome </w:t>
      </w:r>
      <w:r w:rsidRPr="00B7072D">
        <w:t xml:space="preserve">Ukmergės rajono savivaldybės 2019 metų </w:t>
      </w:r>
      <w:r w:rsidRPr="00B7072D">
        <w:rPr>
          <w:lang w:eastAsia="lt-LT"/>
        </w:rPr>
        <w:t xml:space="preserve">konsoliduotųjų biudžeto vykdymo ataskaitų rinkinio auditą. </w:t>
      </w:r>
    </w:p>
    <w:p w14:paraId="516B7611" w14:textId="77777777" w:rsidR="00B7072D" w:rsidRPr="00B7072D" w:rsidRDefault="00B7072D" w:rsidP="00B7072D">
      <w:pPr>
        <w:autoSpaceDE w:val="0"/>
        <w:autoSpaceDN w:val="0"/>
        <w:adjustRightInd w:val="0"/>
        <w:spacing w:line="276" w:lineRule="auto"/>
        <w:ind w:firstLine="851"/>
        <w:jc w:val="both"/>
        <w:rPr>
          <w:color w:val="000000"/>
          <w:szCs w:val="24"/>
        </w:rPr>
      </w:pPr>
      <w:r w:rsidRPr="00B7072D">
        <w:rPr>
          <w:rFonts w:eastAsia="Calibri"/>
          <w:color w:val="000000"/>
          <w:szCs w:val="24"/>
          <w:lang w:eastAsia="lt-LT"/>
        </w:rPr>
        <w:t xml:space="preserve">Mūsų nuomone, Savivaldybės 2019 metų konsoliduotųjų biudžeto vykdymo ataskaitų rinkinys visais reikšmingais atžvilgiais parengtas ir pateiktas pagal Lietuvos Respublikos teisės aktus, reglamentuojančius šio rinkinio sudarymą. </w:t>
      </w:r>
    </w:p>
    <w:p w14:paraId="229D49C9" w14:textId="77777777" w:rsidR="005A5096" w:rsidRDefault="005A5096" w:rsidP="00B7072D">
      <w:pPr>
        <w:tabs>
          <w:tab w:val="left" w:pos="709"/>
        </w:tabs>
        <w:spacing w:line="276" w:lineRule="auto"/>
        <w:ind w:firstLine="851"/>
        <w:jc w:val="both"/>
        <w:rPr>
          <w:bCs/>
          <w:color w:val="1F3864" w:themeColor="accent1" w:themeShade="80"/>
        </w:rPr>
      </w:pPr>
    </w:p>
    <w:p w14:paraId="0724752C" w14:textId="77777777" w:rsidR="00B7072D" w:rsidRPr="00B7072D" w:rsidRDefault="00B7072D" w:rsidP="00B7072D">
      <w:pPr>
        <w:tabs>
          <w:tab w:val="left" w:pos="709"/>
        </w:tabs>
        <w:spacing w:line="276" w:lineRule="auto"/>
        <w:ind w:firstLine="851"/>
        <w:jc w:val="both"/>
        <w:rPr>
          <w:bCs/>
          <w:color w:val="1F3864" w:themeColor="accent1" w:themeShade="80"/>
        </w:rPr>
      </w:pPr>
      <w:r w:rsidRPr="00B7072D">
        <w:rPr>
          <w:bCs/>
          <w:color w:val="1F3864" w:themeColor="accent1" w:themeShade="80"/>
        </w:rPr>
        <w:lastRenderedPageBreak/>
        <w:t>Pagrindas pareikšti besąlyginę nuomonę dėl konsoliduotųjų biudžeto vykdymo ataskaitų rinkinio</w:t>
      </w:r>
    </w:p>
    <w:p w14:paraId="1CAFC199" w14:textId="77777777" w:rsidR="00B7072D" w:rsidRPr="001C7C7B" w:rsidRDefault="00B7072D" w:rsidP="00B7072D">
      <w:pPr>
        <w:tabs>
          <w:tab w:val="left" w:pos="709"/>
        </w:tabs>
        <w:spacing w:line="276" w:lineRule="auto"/>
        <w:ind w:firstLine="851"/>
        <w:jc w:val="both"/>
        <w:rPr>
          <w:szCs w:val="24"/>
          <w:lang w:val="de-DE"/>
        </w:rPr>
      </w:pPr>
      <w:r w:rsidRPr="001C7C7B">
        <w:rPr>
          <w:szCs w:val="24"/>
        </w:rPr>
        <w:t xml:space="preserve">Mes manome, kad mūsų surinkti audito įrodymai yra pakankami ir tinkami pagrįsti mūsų besąlyginę nuomonę dėl </w:t>
      </w:r>
      <w:r>
        <w:rPr>
          <w:szCs w:val="24"/>
        </w:rPr>
        <w:t>biudžeto vykdymo</w:t>
      </w:r>
      <w:r w:rsidRPr="001C7C7B">
        <w:rPr>
          <w:szCs w:val="24"/>
        </w:rPr>
        <w:t xml:space="preserve"> ataskaitų rinkinio.</w:t>
      </w:r>
      <w:r w:rsidRPr="001C7C7B">
        <w:rPr>
          <w:szCs w:val="24"/>
          <w:lang w:val="de-DE"/>
        </w:rPr>
        <w:tab/>
      </w:r>
    </w:p>
    <w:p w14:paraId="1DA2CF4B" w14:textId="77777777" w:rsidR="008147F4" w:rsidRPr="00B7072D" w:rsidRDefault="008147F4" w:rsidP="00A030F5">
      <w:pPr>
        <w:spacing w:line="276" w:lineRule="auto"/>
        <w:ind w:firstLine="709"/>
        <w:contextualSpacing/>
        <w:jc w:val="both"/>
        <w:rPr>
          <w:rFonts w:asciiTheme="majorBidi" w:hAnsiTheme="majorBidi" w:cstheme="majorBidi"/>
          <w:b/>
          <w:iCs/>
          <w:sz w:val="16"/>
          <w:szCs w:val="16"/>
        </w:rPr>
      </w:pPr>
    </w:p>
    <w:p w14:paraId="09F73961" w14:textId="77777777" w:rsidR="00B7072D" w:rsidRPr="00B7072D" w:rsidRDefault="00974A87" w:rsidP="00B7072D">
      <w:pPr>
        <w:tabs>
          <w:tab w:val="left" w:pos="709"/>
        </w:tabs>
        <w:spacing w:line="276" w:lineRule="auto"/>
        <w:ind w:firstLine="567"/>
        <w:jc w:val="both"/>
        <w:rPr>
          <w:bCs/>
          <w:color w:val="1F3864" w:themeColor="accent1" w:themeShade="80"/>
          <w:szCs w:val="24"/>
        </w:rPr>
      </w:pPr>
      <w:r w:rsidRPr="00B7072D">
        <w:rPr>
          <w:bCs/>
          <w:color w:val="1F3864" w:themeColor="accent1" w:themeShade="80"/>
          <w:szCs w:val="24"/>
        </w:rPr>
        <w:t xml:space="preserve">Vadovybės atsakomybė už </w:t>
      </w:r>
      <w:r w:rsidR="004D25E7" w:rsidRPr="00B7072D">
        <w:rPr>
          <w:bCs/>
          <w:color w:val="1F3864" w:themeColor="accent1" w:themeShade="80"/>
          <w:szCs w:val="24"/>
        </w:rPr>
        <w:t>konsoliduotųjų ataskaitų rinkinį</w:t>
      </w:r>
    </w:p>
    <w:p w14:paraId="6C60FC80" w14:textId="77777777" w:rsidR="009F72E6" w:rsidRDefault="004D25E7" w:rsidP="00B7072D">
      <w:pPr>
        <w:tabs>
          <w:tab w:val="left" w:pos="709"/>
        </w:tabs>
        <w:spacing w:line="276" w:lineRule="auto"/>
        <w:ind w:firstLine="567"/>
        <w:jc w:val="both"/>
        <w:rPr>
          <w:rFonts w:eastAsia="Calibri"/>
          <w:szCs w:val="24"/>
        </w:rPr>
      </w:pPr>
      <w:r>
        <w:rPr>
          <w:rFonts w:eastAsia="Calibri"/>
          <w:szCs w:val="24"/>
        </w:rPr>
        <w:t>Ukmergės rajono s</w:t>
      </w:r>
      <w:r w:rsidR="00AA109A">
        <w:rPr>
          <w:rFonts w:eastAsia="Calibri"/>
          <w:szCs w:val="24"/>
        </w:rPr>
        <w:t>avivaldybės</w:t>
      </w:r>
      <w:r w:rsidR="00AA109A" w:rsidRPr="001C7C7B">
        <w:rPr>
          <w:rFonts w:eastAsia="Calibri"/>
          <w:szCs w:val="24"/>
        </w:rPr>
        <w:t xml:space="preserve"> </w:t>
      </w:r>
      <w:r>
        <w:rPr>
          <w:rFonts w:eastAsia="Calibri"/>
          <w:szCs w:val="24"/>
        </w:rPr>
        <w:t xml:space="preserve">administracijos direktorius yra atsakingas už Savivaldybės konsoliduotųjų </w:t>
      </w:r>
      <w:r w:rsidR="00115B6E">
        <w:rPr>
          <w:rFonts w:eastAsia="Calibri"/>
          <w:szCs w:val="24"/>
        </w:rPr>
        <w:t xml:space="preserve">ataskaitų </w:t>
      </w:r>
      <w:r>
        <w:rPr>
          <w:rFonts w:eastAsia="Calibri"/>
          <w:szCs w:val="24"/>
        </w:rPr>
        <w:t xml:space="preserve">rinkinio parengimą ir teisingą pateikimą pagal </w:t>
      </w:r>
      <w:r w:rsidR="00115B6E">
        <w:rPr>
          <w:rFonts w:eastAsia="Calibri"/>
          <w:szCs w:val="24"/>
        </w:rPr>
        <w:t>Lietuvos Respublikos v</w:t>
      </w:r>
      <w:r>
        <w:rPr>
          <w:rFonts w:eastAsia="Calibri"/>
          <w:szCs w:val="24"/>
        </w:rPr>
        <w:t xml:space="preserve">iešojo sektoriaus </w:t>
      </w:r>
      <w:r w:rsidR="00115B6E">
        <w:rPr>
          <w:rFonts w:eastAsia="Calibri"/>
          <w:szCs w:val="24"/>
        </w:rPr>
        <w:t xml:space="preserve">apskaitos ir finansinės </w:t>
      </w:r>
      <w:r>
        <w:rPr>
          <w:rFonts w:eastAsia="Calibri"/>
          <w:szCs w:val="24"/>
        </w:rPr>
        <w:t xml:space="preserve">atskaitomybės </w:t>
      </w:r>
      <w:r w:rsidR="00115B6E">
        <w:rPr>
          <w:rFonts w:eastAsia="Calibri"/>
          <w:szCs w:val="24"/>
        </w:rPr>
        <w:t>standartus, konsoliduotųjų biudžeto vykdymo ataskaitų rinkinio parengimą ir teisingą pateikimą pagal Lietuvos Respublikos teisės aktus, reglamentuojančius šio rinkinio sudarymą. Už žemesnio lygio rinkinių sudarymą atsakingi asignavimų valdytojai.</w:t>
      </w:r>
    </w:p>
    <w:p w14:paraId="5FC3B887" w14:textId="77777777" w:rsidR="004D25E7" w:rsidRPr="00115B6E" w:rsidRDefault="004D25E7" w:rsidP="004D25E7">
      <w:pPr>
        <w:tabs>
          <w:tab w:val="left" w:pos="709"/>
        </w:tabs>
        <w:spacing w:line="276" w:lineRule="auto"/>
        <w:ind w:firstLine="567"/>
        <w:jc w:val="both"/>
        <w:rPr>
          <w:rFonts w:eastAsia="Calibri"/>
          <w:sz w:val="16"/>
          <w:szCs w:val="16"/>
        </w:rPr>
      </w:pPr>
    </w:p>
    <w:p w14:paraId="728B00F6" w14:textId="77777777" w:rsidR="00974A87" w:rsidRPr="00B7072D" w:rsidRDefault="00974A87" w:rsidP="00205C93">
      <w:pPr>
        <w:tabs>
          <w:tab w:val="left" w:pos="709"/>
        </w:tabs>
        <w:spacing w:line="276" w:lineRule="auto"/>
        <w:ind w:firstLine="567"/>
        <w:rPr>
          <w:bCs/>
          <w:color w:val="1F3864" w:themeColor="accent1" w:themeShade="80"/>
          <w:szCs w:val="24"/>
        </w:rPr>
      </w:pPr>
      <w:r w:rsidRPr="00B7072D">
        <w:rPr>
          <w:bCs/>
          <w:color w:val="1F3864" w:themeColor="accent1" w:themeShade="80"/>
          <w:szCs w:val="24"/>
        </w:rPr>
        <w:t>Auditoriaus atsakomybė už auditą</w:t>
      </w:r>
    </w:p>
    <w:p w14:paraId="59B0C91D" w14:textId="77777777" w:rsidR="009F72E6" w:rsidRPr="001C7C7B" w:rsidRDefault="00974A87" w:rsidP="00115B6E">
      <w:pPr>
        <w:spacing w:line="276" w:lineRule="auto"/>
        <w:ind w:firstLine="567"/>
        <w:jc w:val="both"/>
        <w:rPr>
          <w:b/>
          <w:color w:val="2F5496"/>
          <w:szCs w:val="24"/>
        </w:rPr>
      </w:pPr>
      <w:r w:rsidRPr="001C7C7B">
        <w:rPr>
          <w:szCs w:val="24"/>
        </w:rPr>
        <w:t>Mūsų tikslas yra gauti pakankamą užtikrinimą dėl to,</w:t>
      </w:r>
      <w:r w:rsidR="006C09F6">
        <w:rPr>
          <w:szCs w:val="24"/>
        </w:rPr>
        <w:t xml:space="preserve"> kad</w:t>
      </w:r>
      <w:r w:rsidRPr="001C7C7B">
        <w:rPr>
          <w:szCs w:val="24"/>
        </w:rPr>
        <w:t xml:space="preserve"> </w:t>
      </w:r>
      <w:r w:rsidR="00420FC4" w:rsidRPr="001C7C7B">
        <w:rPr>
          <w:rFonts w:eastAsia="Calibri"/>
          <w:szCs w:val="24"/>
        </w:rPr>
        <w:t xml:space="preserve">Ukmergės rajono </w:t>
      </w:r>
      <w:r w:rsidR="00AA109A">
        <w:rPr>
          <w:rFonts w:eastAsia="Calibri"/>
          <w:szCs w:val="24"/>
        </w:rPr>
        <w:t>savivaldybės</w:t>
      </w:r>
      <w:r w:rsidR="00AA109A" w:rsidRPr="001C7C7B">
        <w:rPr>
          <w:rFonts w:eastAsia="Calibri"/>
          <w:szCs w:val="24"/>
        </w:rPr>
        <w:t xml:space="preserve"> </w:t>
      </w:r>
      <w:r w:rsidR="00115B6E">
        <w:rPr>
          <w:rFonts w:eastAsia="Calibri"/>
          <w:szCs w:val="24"/>
        </w:rPr>
        <w:t xml:space="preserve">2019 metų konsoliduotosios finansinės ir biudžeto vykdymo ataskaitos kaip visuma nėra reikšmingai iškraipytos </w:t>
      </w:r>
      <w:r w:rsidRPr="001C7C7B">
        <w:rPr>
          <w:szCs w:val="24"/>
        </w:rPr>
        <w:t>dėl apgaulės ar klaidos</w:t>
      </w:r>
      <w:r w:rsidR="009F72E6" w:rsidRPr="001C7C7B">
        <w:rPr>
          <w:szCs w:val="24"/>
        </w:rPr>
        <w:t xml:space="preserve"> </w:t>
      </w:r>
      <w:r w:rsidRPr="001C7C7B">
        <w:rPr>
          <w:szCs w:val="24"/>
        </w:rPr>
        <w:t xml:space="preserve">ir išleisti auditoriaus išvadą, kurioje pateikiama mūsų nuomonė. Pakankamas užtikrinimas </w:t>
      </w:r>
      <w:r w:rsidR="00115B6E">
        <w:rPr>
          <w:szCs w:val="24"/>
        </w:rPr>
        <w:t>-</w:t>
      </w:r>
      <w:r w:rsidRPr="001C7C7B">
        <w:rPr>
          <w:szCs w:val="24"/>
        </w:rPr>
        <w:t xml:space="preserve"> tai aukšto lygio užtikrinimas, o ne garantija, kad reikšmingą iškraipymą, jeigu jis yra, visada galima nustatyti per auditą, kuris atliekamas pagal Valstybinio audito reikalavimus, Tarptautinius audito standartus. Iškraipymai, kuri</w:t>
      </w:r>
      <w:r w:rsidR="00115B6E">
        <w:rPr>
          <w:szCs w:val="24"/>
        </w:rPr>
        <w:t>ų</w:t>
      </w:r>
      <w:r w:rsidRPr="001C7C7B">
        <w:rPr>
          <w:szCs w:val="24"/>
        </w:rPr>
        <w:t xml:space="preserve"> gali atsirasti dėl apgaulės ar klaidos, laikomi reikšmingais, jeigu galima pagrįstai numatyti, kad atskirai ar kartu jie gali turėti didelės įtakos vartotojų ekonominiams sprendimams, priimamiems remiantis finansinėmis </w:t>
      </w:r>
      <w:r w:rsidR="00115B6E">
        <w:rPr>
          <w:szCs w:val="24"/>
        </w:rPr>
        <w:t xml:space="preserve">ir biudžeto vykdymo </w:t>
      </w:r>
      <w:r w:rsidRPr="001C7C7B">
        <w:rPr>
          <w:szCs w:val="24"/>
        </w:rPr>
        <w:t>ataskaitomis.</w:t>
      </w:r>
      <w:r w:rsidR="00115B6E">
        <w:rPr>
          <w:szCs w:val="24"/>
        </w:rPr>
        <w:t xml:space="preserve"> </w:t>
      </w:r>
      <w:r w:rsidR="009F72E6" w:rsidRPr="001C7C7B">
        <w:rPr>
          <w:rFonts w:eastAsia="Calibri"/>
          <w:color w:val="000303"/>
          <w:szCs w:val="24"/>
          <w:lang w:eastAsia="lt-LT"/>
        </w:rPr>
        <w:t>Manome</w:t>
      </w:r>
      <w:r w:rsidR="009F72E6" w:rsidRPr="001C7C7B">
        <w:rPr>
          <w:rFonts w:eastAsia="Calibri"/>
          <w:color w:val="1B2326"/>
          <w:szCs w:val="24"/>
          <w:lang w:eastAsia="lt-LT"/>
        </w:rPr>
        <w:t xml:space="preserve">, </w:t>
      </w:r>
      <w:r w:rsidR="009F72E6" w:rsidRPr="001C7C7B">
        <w:rPr>
          <w:rFonts w:eastAsia="Calibri"/>
          <w:color w:val="000303"/>
          <w:szCs w:val="24"/>
          <w:lang w:eastAsia="lt-LT"/>
        </w:rPr>
        <w:t>kad surinkti audito įrodymai suteikia pakankamą pagrindą pareikšti</w:t>
      </w:r>
      <w:r w:rsidR="00B7072D" w:rsidRPr="00B7072D">
        <w:rPr>
          <w:rFonts w:eastAsia="Calibri"/>
          <w:color w:val="000303"/>
          <w:szCs w:val="24"/>
          <w:lang w:eastAsia="lt-LT"/>
        </w:rPr>
        <w:t xml:space="preserve"> </w:t>
      </w:r>
      <w:r w:rsidR="00B7072D" w:rsidRPr="001C7C7B">
        <w:rPr>
          <w:rFonts w:eastAsia="Calibri"/>
          <w:color w:val="000303"/>
          <w:szCs w:val="24"/>
          <w:lang w:eastAsia="lt-LT"/>
        </w:rPr>
        <w:t>auditoriaus nuomon</w:t>
      </w:r>
      <w:r w:rsidR="00B7072D">
        <w:rPr>
          <w:rFonts w:eastAsia="Calibri"/>
          <w:color w:val="000303"/>
          <w:szCs w:val="24"/>
          <w:lang w:eastAsia="lt-LT"/>
        </w:rPr>
        <w:t>ę</w:t>
      </w:r>
      <w:r w:rsidR="009F72E6" w:rsidRPr="001C7C7B">
        <w:rPr>
          <w:rFonts w:eastAsia="Calibri"/>
          <w:color w:val="1B2326"/>
          <w:szCs w:val="24"/>
          <w:lang w:eastAsia="lt-LT"/>
        </w:rPr>
        <w:t>.</w:t>
      </w:r>
    </w:p>
    <w:p w14:paraId="6E203F2A" w14:textId="77777777" w:rsidR="009F72E6" w:rsidRPr="001C7C7B" w:rsidRDefault="009F72E6" w:rsidP="00205C93">
      <w:pPr>
        <w:spacing w:line="276" w:lineRule="auto"/>
        <w:ind w:firstLine="567"/>
        <w:jc w:val="both"/>
        <w:rPr>
          <w:szCs w:val="24"/>
        </w:rPr>
      </w:pPr>
      <w:r w:rsidRPr="001C7C7B">
        <w:rPr>
          <w:szCs w:val="24"/>
        </w:rPr>
        <w:t>Audito išvad</w:t>
      </w:r>
      <w:r w:rsidR="006C09F6">
        <w:rPr>
          <w:szCs w:val="24"/>
        </w:rPr>
        <w:t>ą</w:t>
      </w:r>
      <w:r w:rsidRPr="001C7C7B">
        <w:rPr>
          <w:szCs w:val="24"/>
        </w:rPr>
        <w:t xml:space="preserve"> teikiame kartu su audito ataskaita</w:t>
      </w:r>
      <w:r w:rsidR="00115B6E">
        <w:rPr>
          <w:szCs w:val="24"/>
        </w:rPr>
        <w:t>.</w:t>
      </w:r>
    </w:p>
    <w:p w14:paraId="66242218" w14:textId="77777777" w:rsidR="00974A87" w:rsidRPr="001C7C7B" w:rsidRDefault="00974A87" w:rsidP="00205C93">
      <w:pPr>
        <w:spacing w:line="276" w:lineRule="auto"/>
        <w:ind w:firstLine="567"/>
        <w:jc w:val="both"/>
        <w:rPr>
          <w:szCs w:val="24"/>
        </w:rPr>
      </w:pPr>
    </w:p>
    <w:p w14:paraId="133CEC08" w14:textId="77777777" w:rsidR="00D448A3" w:rsidRPr="001C7C7B" w:rsidRDefault="00D448A3" w:rsidP="00205C93">
      <w:pPr>
        <w:shd w:val="clear" w:color="auto" w:fill="FFFFFF"/>
        <w:spacing w:line="276" w:lineRule="auto"/>
        <w:ind w:firstLine="567"/>
        <w:jc w:val="both"/>
        <w:rPr>
          <w:szCs w:val="24"/>
        </w:rPr>
      </w:pPr>
    </w:p>
    <w:p w14:paraId="2337A54E" w14:textId="77777777" w:rsidR="00D448A3" w:rsidRPr="001C7C7B" w:rsidRDefault="00D448A3" w:rsidP="00205C93">
      <w:pPr>
        <w:tabs>
          <w:tab w:val="left" w:pos="709"/>
        </w:tabs>
        <w:spacing w:line="276" w:lineRule="auto"/>
        <w:ind w:firstLine="567"/>
        <w:jc w:val="both"/>
        <w:rPr>
          <w:szCs w:val="24"/>
        </w:rPr>
      </w:pPr>
      <w:r w:rsidRPr="001C7C7B">
        <w:rPr>
          <w:szCs w:val="24"/>
        </w:rPr>
        <w:t>Savivaldybės kontrolierė                                                                       Onutė Mikelienė</w:t>
      </w:r>
    </w:p>
    <w:p w14:paraId="28CD763B" w14:textId="77777777" w:rsidR="00D448A3" w:rsidRPr="001C7C7B" w:rsidRDefault="00D448A3" w:rsidP="00205C93">
      <w:pPr>
        <w:tabs>
          <w:tab w:val="left" w:pos="709"/>
        </w:tabs>
        <w:spacing w:line="276" w:lineRule="auto"/>
        <w:ind w:firstLine="567"/>
        <w:jc w:val="both"/>
        <w:rPr>
          <w:szCs w:val="24"/>
        </w:rPr>
      </w:pPr>
    </w:p>
    <w:p w14:paraId="6D3D878D" w14:textId="77777777" w:rsidR="00D448A3" w:rsidRPr="001C7C7B" w:rsidRDefault="009F72E6" w:rsidP="00205C93">
      <w:pPr>
        <w:tabs>
          <w:tab w:val="left" w:pos="709"/>
        </w:tabs>
        <w:spacing w:line="276" w:lineRule="auto"/>
        <w:ind w:firstLine="567"/>
        <w:jc w:val="both"/>
        <w:rPr>
          <w:szCs w:val="24"/>
        </w:rPr>
      </w:pPr>
      <w:r w:rsidRPr="001C7C7B">
        <w:rPr>
          <w:szCs w:val="24"/>
        </w:rPr>
        <w:t xml:space="preserve">Savivaldybės kontrolieriaus pavaduotoja                                              </w:t>
      </w:r>
      <w:r w:rsidR="00D448A3" w:rsidRPr="001C7C7B">
        <w:rPr>
          <w:szCs w:val="24"/>
        </w:rPr>
        <w:t>Diana Mackonienė</w:t>
      </w:r>
    </w:p>
    <w:p w14:paraId="6C862F6B" w14:textId="77777777" w:rsidR="005A5096" w:rsidRDefault="005A5096" w:rsidP="005A5096">
      <w:pPr>
        <w:autoSpaceDE w:val="0"/>
        <w:autoSpaceDN w:val="0"/>
        <w:adjustRightInd w:val="0"/>
        <w:spacing w:line="276" w:lineRule="auto"/>
        <w:ind w:firstLine="851"/>
        <w:jc w:val="both"/>
        <w:rPr>
          <w:rFonts w:eastAsia="Calibri"/>
          <w:color w:val="0070C0"/>
          <w:szCs w:val="24"/>
          <w:lang w:eastAsia="lt-LT"/>
        </w:rPr>
      </w:pPr>
    </w:p>
    <w:p w14:paraId="72D61E2B" w14:textId="77777777" w:rsidR="00B7072D" w:rsidRDefault="00B7072D" w:rsidP="00B7072D">
      <w:pPr>
        <w:spacing w:line="276" w:lineRule="auto"/>
        <w:ind w:firstLine="709"/>
        <w:contextualSpacing/>
        <w:jc w:val="both"/>
        <w:rPr>
          <w:b/>
          <w:iCs/>
          <w:szCs w:val="24"/>
        </w:rPr>
      </w:pPr>
    </w:p>
    <w:p w14:paraId="1B505308" w14:textId="77777777" w:rsidR="00B7072D" w:rsidRPr="001C7C7B" w:rsidRDefault="00B7072D" w:rsidP="00B7072D">
      <w:pPr>
        <w:tabs>
          <w:tab w:val="left" w:pos="709"/>
        </w:tabs>
        <w:spacing w:line="276" w:lineRule="auto"/>
        <w:ind w:firstLine="567"/>
        <w:jc w:val="both"/>
        <w:rPr>
          <w:szCs w:val="24"/>
        </w:rPr>
      </w:pPr>
    </w:p>
    <w:p w14:paraId="738E13AC" w14:textId="77777777" w:rsidR="00974A87" w:rsidRPr="001C7C7B" w:rsidRDefault="00974A87" w:rsidP="00653E4E">
      <w:pPr>
        <w:tabs>
          <w:tab w:val="left" w:pos="709"/>
        </w:tabs>
        <w:spacing w:line="276" w:lineRule="auto"/>
        <w:jc w:val="both"/>
        <w:rPr>
          <w:szCs w:val="24"/>
        </w:rPr>
      </w:pPr>
    </w:p>
    <w:sectPr w:rsidR="00974A87" w:rsidRPr="001C7C7B" w:rsidSect="005A5096">
      <w:footerReference w:type="default" r:id="rId9"/>
      <w:footerReference w:type="first" r:id="rId10"/>
      <w:pgSz w:w="11906" w:h="16838"/>
      <w:pgMar w:top="1135" w:right="709"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CB287" w14:textId="77777777" w:rsidR="00956B1C" w:rsidRDefault="00956B1C" w:rsidP="007C2254">
      <w:r>
        <w:separator/>
      </w:r>
    </w:p>
  </w:endnote>
  <w:endnote w:type="continuationSeparator" w:id="0">
    <w:p w14:paraId="6F65A640"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A1E6C"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7E5DE75A"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EAF21"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DC15A08"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727CA" w14:textId="77777777" w:rsidR="00956B1C" w:rsidRDefault="00956B1C" w:rsidP="007C2254">
      <w:r>
        <w:separator/>
      </w:r>
    </w:p>
  </w:footnote>
  <w:footnote w:type="continuationSeparator" w:id="0">
    <w:p w14:paraId="3543287C"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0045E1"/>
    <w:multiLevelType w:val="hybridMultilevel"/>
    <w:tmpl w:val="A7C82A66"/>
    <w:lvl w:ilvl="0" w:tplc="E886045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4"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7"/>
  </w:num>
  <w:num w:numId="6">
    <w:abstractNumId w:val="13"/>
  </w:num>
  <w:num w:numId="7">
    <w:abstractNumId w:val="16"/>
  </w:num>
  <w:num w:numId="8">
    <w:abstractNumId w:val="2"/>
  </w:num>
  <w:num w:numId="9">
    <w:abstractNumId w:val="8"/>
  </w:num>
  <w:num w:numId="10">
    <w:abstractNumId w:val="5"/>
  </w:num>
  <w:num w:numId="11">
    <w:abstractNumId w:val="9"/>
  </w:num>
  <w:num w:numId="12">
    <w:abstractNumId w:val="15"/>
  </w:num>
  <w:num w:numId="13">
    <w:abstractNumId w:val="12"/>
  </w:num>
  <w:num w:numId="14">
    <w:abstractNumId w:val="6"/>
  </w:num>
  <w:num w:numId="15">
    <w:abstractNumId w:val="10"/>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6615"/>
    <w:rsid w:val="00073A43"/>
    <w:rsid w:val="0007781B"/>
    <w:rsid w:val="00090DC7"/>
    <w:rsid w:val="000A36AD"/>
    <w:rsid w:val="000A62F2"/>
    <w:rsid w:val="000A66E7"/>
    <w:rsid w:val="000A675E"/>
    <w:rsid w:val="000B3B1F"/>
    <w:rsid w:val="000C1FCB"/>
    <w:rsid w:val="000C7D07"/>
    <w:rsid w:val="000D197D"/>
    <w:rsid w:val="000D36BA"/>
    <w:rsid w:val="001005F6"/>
    <w:rsid w:val="00102E74"/>
    <w:rsid w:val="00111A91"/>
    <w:rsid w:val="00113071"/>
    <w:rsid w:val="00113EAD"/>
    <w:rsid w:val="00115B6E"/>
    <w:rsid w:val="001203EE"/>
    <w:rsid w:val="00134EB0"/>
    <w:rsid w:val="0013662B"/>
    <w:rsid w:val="001402E5"/>
    <w:rsid w:val="0015049C"/>
    <w:rsid w:val="001506B3"/>
    <w:rsid w:val="001653C3"/>
    <w:rsid w:val="001656D2"/>
    <w:rsid w:val="001A53C8"/>
    <w:rsid w:val="001B4261"/>
    <w:rsid w:val="001B70E3"/>
    <w:rsid w:val="001C2F9D"/>
    <w:rsid w:val="001C7C7B"/>
    <w:rsid w:val="001E64D7"/>
    <w:rsid w:val="001F5F21"/>
    <w:rsid w:val="00205C93"/>
    <w:rsid w:val="002104CC"/>
    <w:rsid w:val="00212089"/>
    <w:rsid w:val="0021377E"/>
    <w:rsid w:val="00235AD5"/>
    <w:rsid w:val="00253502"/>
    <w:rsid w:val="00277988"/>
    <w:rsid w:val="00296D2D"/>
    <w:rsid w:val="002971FF"/>
    <w:rsid w:val="00297B90"/>
    <w:rsid w:val="002A01D5"/>
    <w:rsid w:val="002C1B0E"/>
    <w:rsid w:val="002E56B2"/>
    <w:rsid w:val="002F054E"/>
    <w:rsid w:val="0030016C"/>
    <w:rsid w:val="003173DA"/>
    <w:rsid w:val="0032586C"/>
    <w:rsid w:val="00344667"/>
    <w:rsid w:val="00350A57"/>
    <w:rsid w:val="00353F2F"/>
    <w:rsid w:val="003616E5"/>
    <w:rsid w:val="003768AC"/>
    <w:rsid w:val="00377829"/>
    <w:rsid w:val="00377F79"/>
    <w:rsid w:val="003836EE"/>
    <w:rsid w:val="00385694"/>
    <w:rsid w:val="00385E19"/>
    <w:rsid w:val="00386AAE"/>
    <w:rsid w:val="00392904"/>
    <w:rsid w:val="00395DFA"/>
    <w:rsid w:val="00397B07"/>
    <w:rsid w:val="003D2D1B"/>
    <w:rsid w:val="003E629F"/>
    <w:rsid w:val="00405774"/>
    <w:rsid w:val="004120ED"/>
    <w:rsid w:val="00420FC4"/>
    <w:rsid w:val="00427111"/>
    <w:rsid w:val="004344B3"/>
    <w:rsid w:val="00440A8A"/>
    <w:rsid w:val="00464C76"/>
    <w:rsid w:val="0047485C"/>
    <w:rsid w:val="004802D0"/>
    <w:rsid w:val="004A1E5E"/>
    <w:rsid w:val="004D25E7"/>
    <w:rsid w:val="004E495C"/>
    <w:rsid w:val="004F3199"/>
    <w:rsid w:val="00511DA6"/>
    <w:rsid w:val="00536332"/>
    <w:rsid w:val="0054728F"/>
    <w:rsid w:val="00557AAE"/>
    <w:rsid w:val="0057339F"/>
    <w:rsid w:val="00585FA5"/>
    <w:rsid w:val="00596E88"/>
    <w:rsid w:val="005A5096"/>
    <w:rsid w:val="005D32F4"/>
    <w:rsid w:val="005D7131"/>
    <w:rsid w:val="005E1BBA"/>
    <w:rsid w:val="005E2CF1"/>
    <w:rsid w:val="005F5DB3"/>
    <w:rsid w:val="00605E07"/>
    <w:rsid w:val="00614C66"/>
    <w:rsid w:val="00617311"/>
    <w:rsid w:val="0062740E"/>
    <w:rsid w:val="00631024"/>
    <w:rsid w:val="00642008"/>
    <w:rsid w:val="00653E4E"/>
    <w:rsid w:val="00695A7A"/>
    <w:rsid w:val="006A212A"/>
    <w:rsid w:val="006B2382"/>
    <w:rsid w:val="006C09F6"/>
    <w:rsid w:val="006C4261"/>
    <w:rsid w:val="006C7C0A"/>
    <w:rsid w:val="006E0118"/>
    <w:rsid w:val="006E28C9"/>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F03CB"/>
    <w:rsid w:val="007F4585"/>
    <w:rsid w:val="007F5CBC"/>
    <w:rsid w:val="008147F4"/>
    <w:rsid w:val="00815369"/>
    <w:rsid w:val="00825FA9"/>
    <w:rsid w:val="00837E3A"/>
    <w:rsid w:val="0085566E"/>
    <w:rsid w:val="00856553"/>
    <w:rsid w:val="00866E2D"/>
    <w:rsid w:val="008875A8"/>
    <w:rsid w:val="008963DD"/>
    <w:rsid w:val="008A3FC5"/>
    <w:rsid w:val="008E0F54"/>
    <w:rsid w:val="008F279F"/>
    <w:rsid w:val="0090608C"/>
    <w:rsid w:val="009103D0"/>
    <w:rsid w:val="00911BE1"/>
    <w:rsid w:val="00914014"/>
    <w:rsid w:val="009252E4"/>
    <w:rsid w:val="009328A9"/>
    <w:rsid w:val="00933AA9"/>
    <w:rsid w:val="00956B1C"/>
    <w:rsid w:val="0096141E"/>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F41EF"/>
    <w:rsid w:val="009F6818"/>
    <w:rsid w:val="009F72E6"/>
    <w:rsid w:val="00A030F5"/>
    <w:rsid w:val="00A209CB"/>
    <w:rsid w:val="00A3136C"/>
    <w:rsid w:val="00A31B3B"/>
    <w:rsid w:val="00A456B9"/>
    <w:rsid w:val="00A538F8"/>
    <w:rsid w:val="00A60A69"/>
    <w:rsid w:val="00A76342"/>
    <w:rsid w:val="00A76CC7"/>
    <w:rsid w:val="00A7745C"/>
    <w:rsid w:val="00A82BB1"/>
    <w:rsid w:val="00A925B4"/>
    <w:rsid w:val="00AA0F83"/>
    <w:rsid w:val="00AA109A"/>
    <w:rsid w:val="00B05894"/>
    <w:rsid w:val="00B11C1D"/>
    <w:rsid w:val="00B4209F"/>
    <w:rsid w:val="00B64C81"/>
    <w:rsid w:val="00B652BC"/>
    <w:rsid w:val="00B6772D"/>
    <w:rsid w:val="00B7072D"/>
    <w:rsid w:val="00B70DA0"/>
    <w:rsid w:val="00B81305"/>
    <w:rsid w:val="00BB1DF4"/>
    <w:rsid w:val="00BB3885"/>
    <w:rsid w:val="00BB4160"/>
    <w:rsid w:val="00BC2D24"/>
    <w:rsid w:val="00BD4708"/>
    <w:rsid w:val="00BD687E"/>
    <w:rsid w:val="00BD7A7F"/>
    <w:rsid w:val="00BF64B9"/>
    <w:rsid w:val="00BF750D"/>
    <w:rsid w:val="00C20707"/>
    <w:rsid w:val="00C25B93"/>
    <w:rsid w:val="00C30E3F"/>
    <w:rsid w:val="00C371C8"/>
    <w:rsid w:val="00C464F7"/>
    <w:rsid w:val="00C66388"/>
    <w:rsid w:val="00C6678F"/>
    <w:rsid w:val="00C75195"/>
    <w:rsid w:val="00C767D6"/>
    <w:rsid w:val="00C87606"/>
    <w:rsid w:val="00CE00C8"/>
    <w:rsid w:val="00CE03EC"/>
    <w:rsid w:val="00CF21A3"/>
    <w:rsid w:val="00D25CA7"/>
    <w:rsid w:val="00D25F77"/>
    <w:rsid w:val="00D27701"/>
    <w:rsid w:val="00D30D8F"/>
    <w:rsid w:val="00D32A57"/>
    <w:rsid w:val="00D448A3"/>
    <w:rsid w:val="00D717A7"/>
    <w:rsid w:val="00D75E70"/>
    <w:rsid w:val="00D85C21"/>
    <w:rsid w:val="00D87E5A"/>
    <w:rsid w:val="00DA3CBA"/>
    <w:rsid w:val="00DA42F7"/>
    <w:rsid w:val="00DB29E6"/>
    <w:rsid w:val="00DB34A6"/>
    <w:rsid w:val="00DB66FC"/>
    <w:rsid w:val="00DB6888"/>
    <w:rsid w:val="00DC0355"/>
    <w:rsid w:val="00DF7BC1"/>
    <w:rsid w:val="00E00CFF"/>
    <w:rsid w:val="00E14A7D"/>
    <w:rsid w:val="00E17166"/>
    <w:rsid w:val="00E22EF7"/>
    <w:rsid w:val="00E23B50"/>
    <w:rsid w:val="00E24657"/>
    <w:rsid w:val="00E355AA"/>
    <w:rsid w:val="00E36C1C"/>
    <w:rsid w:val="00E55F68"/>
    <w:rsid w:val="00E67B12"/>
    <w:rsid w:val="00E708B4"/>
    <w:rsid w:val="00E7093E"/>
    <w:rsid w:val="00E83168"/>
    <w:rsid w:val="00E9265D"/>
    <w:rsid w:val="00EA0E24"/>
    <w:rsid w:val="00EB3510"/>
    <w:rsid w:val="00ED0428"/>
    <w:rsid w:val="00EE71C5"/>
    <w:rsid w:val="00EF566E"/>
    <w:rsid w:val="00F255B9"/>
    <w:rsid w:val="00F32BD4"/>
    <w:rsid w:val="00F32CF5"/>
    <w:rsid w:val="00F7131D"/>
    <w:rsid w:val="00F718C4"/>
    <w:rsid w:val="00F8025B"/>
    <w:rsid w:val="00F86259"/>
    <w:rsid w:val="00FA51B4"/>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42E29"/>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6070</Words>
  <Characters>3460</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2020-07-22T04:37:00Z</cp:lastPrinted>
  <dcterms:created xsi:type="dcterms:W3CDTF">2020-08-18T11:38:00Z</dcterms:created>
  <dcterms:modified xsi:type="dcterms:W3CDTF">2020-08-18T11:38:00Z</dcterms:modified>
</cp:coreProperties>
</file>